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44677" w14:textId="3781A664" w:rsidR="00710836" w:rsidRDefault="00F97DD3" w:rsidP="200C6914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4B9C649D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ANEXO </w:t>
      </w:r>
      <w:proofErr w:type="spellStart"/>
      <w:r w:rsidRPr="4B9C649D">
        <w:rPr>
          <w:rFonts w:ascii="Arial" w:eastAsia="Arial" w:hAnsi="Arial" w:cs="Arial"/>
          <w:b/>
          <w:bCs/>
          <w:sz w:val="24"/>
          <w:szCs w:val="24"/>
          <w:u w:val="single"/>
        </w:rPr>
        <w:t>N°</w:t>
      </w:r>
      <w:proofErr w:type="spellEnd"/>
      <w:r w:rsidRPr="4B9C649D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01</w:t>
      </w:r>
    </w:p>
    <w:p w14:paraId="1750126F" w14:textId="77777777" w:rsidR="00710836" w:rsidRDefault="00710836" w:rsidP="200C6914">
      <w:pPr>
        <w:spacing w:after="0"/>
        <w:jc w:val="center"/>
        <w:rPr>
          <w:rFonts w:ascii="Arial" w:eastAsia="Arial" w:hAnsi="Arial" w:cs="Arial"/>
          <w:b/>
          <w:bCs/>
          <w:u w:val="single"/>
        </w:rPr>
      </w:pPr>
    </w:p>
    <w:p w14:paraId="75DFDF92" w14:textId="22C57C6A" w:rsidR="00710836" w:rsidRDefault="001C738F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MODELO DE OFICIO DEL TITULAR</w:t>
      </w:r>
      <w:r w:rsidR="00E7479A">
        <w:rPr>
          <w:rFonts w:ascii="Arial" w:eastAsia="Arial" w:hAnsi="Arial" w:cs="Arial"/>
          <w:b/>
          <w:sz w:val="24"/>
          <w:szCs w:val="24"/>
          <w:u w:val="single"/>
        </w:rPr>
        <w:t xml:space="preserve"> DE LA ENTIDAD PÚBLICA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PARA OTORGAR RELEVANCIA DE</w:t>
      </w:r>
      <w:r w:rsidR="00E17405" w:rsidRPr="00E17405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6A51B2">
        <w:rPr>
          <w:rFonts w:ascii="Arial" w:eastAsia="Arial" w:hAnsi="Arial" w:cs="Arial"/>
          <w:b/>
          <w:sz w:val="24"/>
          <w:szCs w:val="24"/>
          <w:u w:val="single"/>
        </w:rPr>
        <w:t>LA(S)</w:t>
      </w:r>
      <w:r w:rsidR="00C53381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E17405" w:rsidRPr="00E17405">
        <w:rPr>
          <w:rFonts w:ascii="Arial" w:eastAsia="Arial" w:hAnsi="Arial" w:cs="Arial"/>
          <w:b/>
          <w:sz w:val="24"/>
          <w:szCs w:val="24"/>
          <w:u w:val="single"/>
        </w:rPr>
        <w:t>INVERSI</w:t>
      </w:r>
      <w:r w:rsidR="00A84E8F">
        <w:rPr>
          <w:rFonts w:ascii="Arial" w:eastAsia="Arial" w:hAnsi="Arial" w:cs="Arial"/>
          <w:b/>
          <w:sz w:val="24"/>
          <w:szCs w:val="24"/>
          <w:u w:val="single"/>
        </w:rPr>
        <w:t>Ó</w:t>
      </w:r>
      <w:r w:rsidR="00E17405" w:rsidRPr="00E17405">
        <w:rPr>
          <w:rFonts w:ascii="Arial" w:eastAsia="Arial" w:hAnsi="Arial" w:cs="Arial"/>
          <w:b/>
          <w:sz w:val="24"/>
          <w:szCs w:val="24"/>
          <w:u w:val="single"/>
        </w:rPr>
        <w:t xml:space="preserve">N(ES) </w:t>
      </w:r>
      <w:r w:rsidR="005B1CE3">
        <w:rPr>
          <w:rFonts w:ascii="Arial" w:eastAsia="Arial" w:hAnsi="Arial" w:cs="Arial"/>
          <w:b/>
          <w:sz w:val="24"/>
          <w:szCs w:val="24"/>
          <w:u w:val="single"/>
        </w:rPr>
        <w:t>/</w:t>
      </w:r>
      <w:r w:rsidR="00E17405" w:rsidRPr="00E17405">
        <w:rPr>
          <w:rFonts w:ascii="Arial" w:eastAsia="Arial" w:hAnsi="Arial" w:cs="Arial"/>
          <w:b/>
          <w:sz w:val="24"/>
          <w:szCs w:val="24"/>
          <w:u w:val="single"/>
        </w:rPr>
        <w:t xml:space="preserve"> ACTIVIDAD(ES) DE OPERACIÓN Y/O MANTENIMIENTO</w:t>
      </w:r>
      <w:r w:rsidR="00C53381" w:rsidDel="00E17405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2890ED89" w14:textId="77777777" w:rsidR="00710836" w:rsidRDefault="00710836">
      <w:pPr>
        <w:jc w:val="both"/>
        <w:rPr>
          <w:rFonts w:ascii="Arial" w:eastAsia="Arial" w:hAnsi="Arial" w:cs="Arial"/>
          <w:b/>
          <w:color w:val="0000FF"/>
          <w:u w:val="single"/>
        </w:rPr>
      </w:pPr>
    </w:p>
    <w:p w14:paraId="705699A4" w14:textId="77777777" w:rsidR="00ED756C" w:rsidRPr="007839C2" w:rsidRDefault="00ED756C" w:rsidP="00ED756C">
      <w:pPr>
        <w:widowControl w:val="0"/>
        <w:spacing w:before="120" w:after="120"/>
        <w:rPr>
          <w:rFonts w:ascii="Arial" w:hAnsi="Arial" w:cs="Arial"/>
          <w:b/>
          <w:i/>
          <w:color w:val="0000FF"/>
          <w:lang w:val="es-PE"/>
        </w:rPr>
      </w:pPr>
      <w:r w:rsidRPr="007839C2">
        <w:rPr>
          <w:rFonts w:ascii="Arial" w:hAnsi="Arial" w:cs="Arial"/>
          <w:b/>
          <w:i/>
          <w:color w:val="0000FF"/>
          <w:lang w:val="es-PE"/>
        </w:rPr>
        <w:t>GUÍA DE ESTILO:</w:t>
      </w:r>
    </w:p>
    <w:p w14:paraId="45510F4E" w14:textId="77777777" w:rsidR="00ED756C" w:rsidRPr="007839C2" w:rsidRDefault="00ED756C" w:rsidP="00ED756C">
      <w:pPr>
        <w:pStyle w:val="Sinespaciado"/>
        <w:numPr>
          <w:ilvl w:val="0"/>
          <w:numId w:val="1"/>
        </w:numPr>
        <w:spacing w:before="120" w:after="120"/>
        <w:ind w:left="567" w:hanging="283"/>
        <w:jc w:val="both"/>
        <w:rPr>
          <w:rFonts w:ascii="Arial" w:eastAsia="Batang" w:hAnsi="Arial" w:cs="Arial"/>
          <w:i/>
          <w:iCs/>
          <w:color w:val="0000FF"/>
          <w:lang w:eastAsia="es-PE"/>
        </w:rPr>
      </w:pPr>
      <w:r w:rsidRPr="007839C2">
        <w:rPr>
          <w:rFonts w:ascii="Arial" w:eastAsia="Batang" w:hAnsi="Arial" w:cs="Arial"/>
          <w:i/>
          <w:iCs/>
          <w:color w:val="0000FF"/>
          <w:lang w:eastAsia="es-PE"/>
        </w:rPr>
        <w:t xml:space="preserve">Los puntos o espacios entre corchetes “[…]” y de color azul deben ser completados con información relevante por la Entidad Pública </w:t>
      </w:r>
      <w:proofErr w:type="gramStart"/>
      <w:r w:rsidRPr="007839C2">
        <w:rPr>
          <w:rFonts w:ascii="Arial" w:eastAsia="Batang" w:hAnsi="Arial" w:cs="Arial"/>
          <w:i/>
          <w:iCs/>
          <w:color w:val="0000FF"/>
          <w:lang w:eastAsia="es-PE"/>
        </w:rPr>
        <w:t>de acuerdo a</w:t>
      </w:r>
      <w:proofErr w:type="gramEnd"/>
      <w:r w:rsidRPr="007839C2">
        <w:rPr>
          <w:rFonts w:ascii="Arial" w:eastAsia="Batang" w:hAnsi="Arial" w:cs="Arial"/>
          <w:i/>
          <w:iCs/>
          <w:color w:val="0000FF"/>
          <w:lang w:eastAsia="es-PE"/>
        </w:rPr>
        <w:t xml:space="preserve"> la indicación contenida en ellos.</w:t>
      </w:r>
    </w:p>
    <w:p w14:paraId="51C4FE60" w14:textId="77777777" w:rsidR="00ED756C" w:rsidRPr="007839C2" w:rsidRDefault="00ED756C" w:rsidP="00ED756C">
      <w:pPr>
        <w:pStyle w:val="Sinespaciado"/>
        <w:numPr>
          <w:ilvl w:val="0"/>
          <w:numId w:val="1"/>
        </w:numPr>
        <w:spacing w:before="120" w:after="120"/>
        <w:ind w:left="567" w:hanging="283"/>
        <w:jc w:val="both"/>
        <w:rPr>
          <w:rFonts w:ascii="Arial" w:eastAsia="Batang" w:hAnsi="Arial" w:cs="Arial"/>
          <w:i/>
          <w:color w:val="0000FF"/>
          <w:lang w:eastAsia="es-PE"/>
        </w:rPr>
      </w:pPr>
      <w:r w:rsidRPr="007839C2">
        <w:rPr>
          <w:rFonts w:ascii="Arial" w:eastAsia="Batang" w:hAnsi="Arial" w:cs="Arial"/>
          <w:i/>
          <w:color w:val="0000FF"/>
          <w:lang w:eastAsia="es-PE"/>
        </w:rPr>
        <w:t xml:space="preserve">Las </w:t>
      </w:r>
      <w:r w:rsidRPr="007839C2">
        <w:rPr>
          <w:rFonts w:ascii="Arial" w:eastAsia="Batang" w:hAnsi="Arial" w:cs="Arial"/>
          <w:i/>
          <w:iCs/>
          <w:color w:val="0000FF"/>
          <w:lang w:eastAsia="es-PE"/>
        </w:rPr>
        <w:t>indicaciones</w:t>
      </w:r>
      <w:r w:rsidRPr="007839C2">
        <w:rPr>
          <w:rFonts w:ascii="Arial" w:eastAsia="Batang" w:hAnsi="Arial" w:cs="Arial"/>
          <w:i/>
          <w:color w:val="0000FF"/>
          <w:lang w:eastAsia="es-PE"/>
        </w:rPr>
        <w:t xml:space="preserve"> que aparecen entre paréntesis “(…)” y en letras cursivas de color rojo se refieren a </w:t>
      </w:r>
      <w:r w:rsidRPr="007839C2">
        <w:rPr>
          <w:rFonts w:ascii="Arial" w:eastAsia="Batang" w:hAnsi="Arial" w:cs="Arial"/>
          <w:i/>
          <w:iCs/>
          <w:color w:val="0000FF"/>
          <w:lang w:eastAsia="es-PE"/>
        </w:rPr>
        <w:t>información</w:t>
      </w:r>
      <w:r w:rsidRPr="007839C2">
        <w:rPr>
          <w:rFonts w:ascii="Arial" w:eastAsia="Batang" w:hAnsi="Arial" w:cs="Arial"/>
          <w:i/>
          <w:color w:val="0000FF"/>
          <w:lang w:eastAsia="es-PE"/>
        </w:rPr>
        <w:t xml:space="preserve"> optativa a ser incorporada a criterio de la Entidad Pública.</w:t>
      </w:r>
    </w:p>
    <w:p w14:paraId="0D5F76F4" w14:textId="5CFE9D87" w:rsidR="00ED756C" w:rsidRDefault="00ED756C" w:rsidP="00ED756C">
      <w:pPr>
        <w:pStyle w:val="Sinespaciado"/>
        <w:numPr>
          <w:ilvl w:val="0"/>
          <w:numId w:val="1"/>
        </w:numPr>
        <w:spacing w:before="120" w:after="120"/>
        <w:ind w:left="567" w:hanging="283"/>
        <w:jc w:val="both"/>
        <w:rPr>
          <w:rFonts w:ascii="Arial" w:eastAsia="Batang" w:hAnsi="Arial" w:cs="Arial"/>
          <w:i/>
          <w:color w:val="0000FF"/>
          <w:lang w:eastAsia="es-PE"/>
        </w:rPr>
      </w:pPr>
      <w:r w:rsidRPr="007839C2">
        <w:rPr>
          <w:rFonts w:ascii="Arial" w:eastAsia="Batang" w:hAnsi="Arial" w:cs="Arial"/>
          <w:i/>
          <w:color w:val="0000FF"/>
          <w:lang w:eastAsia="es-PE"/>
        </w:rPr>
        <w:t xml:space="preserve">Las </w:t>
      </w:r>
      <w:r w:rsidRPr="007839C2">
        <w:rPr>
          <w:rFonts w:ascii="Arial" w:eastAsia="Batang" w:hAnsi="Arial" w:cs="Arial"/>
          <w:i/>
          <w:iCs/>
          <w:color w:val="0000FF"/>
          <w:lang w:eastAsia="es-PE"/>
        </w:rPr>
        <w:t>indicaciones</w:t>
      </w:r>
      <w:r w:rsidRPr="007839C2">
        <w:rPr>
          <w:rFonts w:ascii="Arial" w:eastAsia="Batang" w:hAnsi="Arial" w:cs="Arial"/>
          <w:i/>
          <w:color w:val="0000FF"/>
          <w:lang w:eastAsia="es-PE"/>
        </w:rPr>
        <w:t xml:space="preserve"> realizadas en los apartados denominados como “IMPORTANTE” y en color azul, </w:t>
      </w:r>
      <w:r w:rsidRPr="007839C2">
        <w:rPr>
          <w:rFonts w:ascii="Arial" w:eastAsia="Batang" w:hAnsi="Arial" w:cs="Arial"/>
          <w:i/>
          <w:iCs/>
          <w:color w:val="0000FF"/>
          <w:lang w:eastAsia="es-PE"/>
        </w:rPr>
        <w:t>deben</w:t>
      </w:r>
      <w:r w:rsidRPr="007839C2">
        <w:rPr>
          <w:rFonts w:ascii="Arial" w:eastAsia="Batang" w:hAnsi="Arial" w:cs="Arial"/>
          <w:i/>
          <w:color w:val="0000FF"/>
          <w:lang w:eastAsia="es-PE"/>
        </w:rPr>
        <w:t xml:space="preserve"> ser tomadas en consideración por la Entidad Pública para elaborar </w:t>
      </w:r>
      <w:r w:rsidR="008F0406">
        <w:rPr>
          <w:rFonts w:ascii="Arial" w:eastAsia="Batang" w:hAnsi="Arial" w:cs="Arial"/>
          <w:i/>
          <w:color w:val="0000FF"/>
          <w:lang w:eastAsia="es-PE"/>
        </w:rPr>
        <w:t>el documento</w:t>
      </w:r>
      <w:r w:rsidRPr="007839C2">
        <w:rPr>
          <w:rFonts w:ascii="Arial" w:eastAsia="Batang" w:hAnsi="Arial" w:cs="Arial"/>
          <w:i/>
          <w:color w:val="0000FF"/>
          <w:lang w:eastAsia="es-PE"/>
        </w:rPr>
        <w:t>.</w:t>
      </w:r>
    </w:p>
    <w:p w14:paraId="0DBD5C32" w14:textId="77777777" w:rsidR="007702E9" w:rsidRPr="00387551" w:rsidRDefault="007702E9" w:rsidP="007702E9">
      <w:pPr>
        <w:pStyle w:val="Sinespaciado"/>
        <w:numPr>
          <w:ilvl w:val="0"/>
          <w:numId w:val="1"/>
        </w:numPr>
        <w:spacing w:before="120" w:after="120"/>
        <w:ind w:left="567" w:hanging="283"/>
        <w:jc w:val="both"/>
        <w:rPr>
          <w:rFonts w:ascii="Arial" w:eastAsia="Batang" w:hAnsi="Arial" w:cs="Arial"/>
          <w:i/>
          <w:iCs/>
          <w:color w:val="0000FF"/>
          <w:lang w:eastAsia="es-PE"/>
        </w:rPr>
      </w:pPr>
      <w:r w:rsidRPr="00387551">
        <w:rPr>
          <w:rFonts w:ascii="Arial" w:eastAsia="Batang" w:hAnsi="Arial" w:cs="Arial"/>
          <w:i/>
          <w:iCs/>
          <w:color w:val="0000FF"/>
          <w:lang w:eastAsia="es-PE"/>
        </w:rPr>
        <w:t>Las expresiones y términos no definidos se refieren a aquellos utilizados en</w:t>
      </w:r>
      <w:r>
        <w:rPr>
          <w:rFonts w:ascii="Arial" w:eastAsia="Batang" w:hAnsi="Arial" w:cs="Arial"/>
          <w:i/>
          <w:iCs/>
          <w:color w:val="0000FF"/>
          <w:lang w:eastAsia="es-PE"/>
        </w:rPr>
        <w:t xml:space="preserve"> </w:t>
      </w:r>
      <w:r w:rsidRPr="00387551">
        <w:rPr>
          <w:rFonts w:ascii="Arial" w:eastAsia="Batang" w:hAnsi="Arial" w:cs="Arial"/>
          <w:i/>
          <w:iCs/>
          <w:color w:val="0000FF"/>
          <w:lang w:eastAsia="es-PE"/>
        </w:rPr>
        <w:t xml:space="preserve">la Ley N°29230, Ley que impulsa la inversión pública regional y local con participación del sector privado, </w:t>
      </w:r>
      <w:r>
        <w:rPr>
          <w:rFonts w:ascii="Arial" w:eastAsia="Batang" w:hAnsi="Arial" w:cs="Arial"/>
          <w:i/>
          <w:iCs/>
          <w:color w:val="0000FF"/>
          <w:lang w:eastAsia="es-PE"/>
        </w:rPr>
        <w:t xml:space="preserve">y su Reglamento, </w:t>
      </w:r>
      <w:r w:rsidRPr="00387551">
        <w:rPr>
          <w:rFonts w:ascii="Arial" w:eastAsia="Batang" w:hAnsi="Arial" w:cs="Arial"/>
          <w:i/>
          <w:iCs/>
          <w:color w:val="0000FF"/>
          <w:lang w:eastAsia="es-PE"/>
        </w:rPr>
        <w:t xml:space="preserve">aprobado por el Decreto Supremo </w:t>
      </w:r>
      <w:proofErr w:type="spellStart"/>
      <w:r w:rsidRPr="00387551">
        <w:rPr>
          <w:rFonts w:ascii="Arial" w:eastAsia="Batang" w:hAnsi="Arial" w:cs="Arial"/>
          <w:i/>
          <w:iCs/>
          <w:color w:val="0000FF"/>
          <w:lang w:eastAsia="es-PE"/>
        </w:rPr>
        <w:t>N°</w:t>
      </w:r>
      <w:proofErr w:type="spellEnd"/>
      <w:r w:rsidRPr="00387551">
        <w:rPr>
          <w:rFonts w:ascii="Arial" w:eastAsia="Batang" w:hAnsi="Arial" w:cs="Arial"/>
          <w:i/>
          <w:iCs/>
          <w:color w:val="0000FF"/>
          <w:lang w:eastAsia="es-PE"/>
        </w:rPr>
        <w:t xml:space="preserve"> </w:t>
      </w:r>
      <w:r>
        <w:rPr>
          <w:rFonts w:ascii="Arial" w:eastAsia="Batang" w:hAnsi="Arial" w:cs="Arial"/>
          <w:i/>
          <w:iCs/>
          <w:color w:val="0000FF"/>
          <w:lang w:eastAsia="es-PE"/>
        </w:rPr>
        <w:t>210</w:t>
      </w:r>
      <w:r w:rsidRPr="00387551">
        <w:rPr>
          <w:rFonts w:ascii="Arial" w:eastAsia="Batang" w:hAnsi="Arial" w:cs="Arial"/>
          <w:i/>
          <w:iCs/>
          <w:color w:val="0000FF"/>
          <w:lang w:eastAsia="es-PE"/>
        </w:rPr>
        <w:t>-</w:t>
      </w:r>
      <w:r>
        <w:rPr>
          <w:rFonts w:ascii="Arial" w:eastAsia="Batang" w:hAnsi="Arial" w:cs="Arial"/>
          <w:i/>
          <w:iCs/>
          <w:color w:val="0000FF"/>
          <w:lang w:eastAsia="es-PE"/>
        </w:rPr>
        <w:t>2022</w:t>
      </w:r>
      <w:r w:rsidRPr="00387551">
        <w:rPr>
          <w:rFonts w:ascii="Arial" w:eastAsia="Batang" w:hAnsi="Arial" w:cs="Arial"/>
          <w:i/>
          <w:iCs/>
          <w:color w:val="0000FF"/>
          <w:lang w:eastAsia="es-PE"/>
        </w:rPr>
        <w:t>-EF.</w:t>
      </w:r>
    </w:p>
    <w:p w14:paraId="1248CBC1" w14:textId="34869CAB" w:rsidR="007702E9" w:rsidRPr="007839C2" w:rsidRDefault="007702E9" w:rsidP="007702E9">
      <w:pPr>
        <w:pStyle w:val="Sinespaciado"/>
        <w:numPr>
          <w:ilvl w:val="0"/>
          <w:numId w:val="1"/>
        </w:numPr>
        <w:spacing w:before="120" w:after="120"/>
        <w:ind w:left="567" w:hanging="283"/>
        <w:jc w:val="both"/>
        <w:rPr>
          <w:rFonts w:ascii="Arial" w:eastAsia="Batang" w:hAnsi="Arial" w:cs="Arial"/>
          <w:i/>
          <w:color w:val="0000FF"/>
          <w:lang w:eastAsia="es-PE"/>
        </w:rPr>
      </w:pPr>
      <w:r w:rsidRPr="00387551">
        <w:rPr>
          <w:rFonts w:ascii="Arial" w:eastAsia="Batang" w:hAnsi="Arial" w:cs="Arial"/>
          <w:i/>
          <w:iCs/>
          <w:color w:val="0000FF"/>
          <w:lang w:eastAsia="es-PE"/>
        </w:rPr>
        <w:t xml:space="preserve">Se podrá efectuar la inclusión de antecedentes, textos y/o información adicional o la adecuación de las propuestas en los presentes documentos, las que en ningún caso pueden contemplar disposiciones contrarias a la normativa </w:t>
      </w:r>
      <w:r>
        <w:rPr>
          <w:rFonts w:ascii="Arial" w:eastAsia="Batang" w:hAnsi="Arial" w:cs="Arial"/>
          <w:i/>
          <w:iCs/>
          <w:color w:val="0000FF"/>
          <w:lang w:eastAsia="es-PE"/>
        </w:rPr>
        <w:t>vigente</w:t>
      </w:r>
      <w:r w:rsidRPr="00387551">
        <w:rPr>
          <w:rFonts w:ascii="Arial" w:eastAsia="Batang" w:hAnsi="Arial" w:cs="Arial"/>
          <w:i/>
          <w:iCs/>
          <w:color w:val="0000FF"/>
          <w:lang w:eastAsia="es-PE"/>
        </w:rPr>
        <w:t>.</w:t>
      </w:r>
    </w:p>
    <w:p w14:paraId="2E883462" w14:textId="77777777" w:rsidR="00ED756C" w:rsidRPr="00ED756C" w:rsidRDefault="00ED756C">
      <w:pPr>
        <w:jc w:val="both"/>
        <w:rPr>
          <w:rFonts w:ascii="Arial" w:eastAsia="Arial" w:hAnsi="Arial" w:cs="Arial"/>
          <w:b/>
          <w:i/>
          <w:color w:val="0000FF"/>
          <w:u w:val="single"/>
          <w:lang w:val="es-PE"/>
        </w:rPr>
      </w:pPr>
    </w:p>
    <w:p w14:paraId="5AF5603C" w14:textId="3A4E6AAB" w:rsidR="00710836" w:rsidRDefault="001C738F">
      <w:pPr>
        <w:jc w:val="both"/>
        <w:rPr>
          <w:rFonts w:ascii="Arial" w:eastAsia="Arial" w:hAnsi="Arial" w:cs="Arial"/>
          <w:b/>
          <w:i/>
          <w:color w:val="0000FF"/>
          <w:u w:val="single"/>
        </w:rPr>
      </w:pPr>
      <w:r>
        <w:rPr>
          <w:rFonts w:ascii="Arial" w:eastAsia="Arial" w:hAnsi="Arial" w:cs="Arial"/>
          <w:b/>
          <w:i/>
          <w:color w:val="0000FF"/>
          <w:u w:val="single"/>
        </w:rPr>
        <w:t>IMPORTANTE:</w:t>
      </w:r>
    </w:p>
    <w:p w14:paraId="1279B1DF" w14:textId="54BEC112" w:rsidR="00710836" w:rsidRDefault="001C738F">
      <w:pPr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En caso de varios proyectos debe indicarse el nombre de cada uno de </w:t>
      </w:r>
      <w:proofErr w:type="gramStart"/>
      <w:r w:rsidR="00C53381">
        <w:rPr>
          <w:rFonts w:ascii="Arial" w:eastAsia="Arial" w:hAnsi="Arial" w:cs="Arial"/>
          <w:i/>
          <w:color w:val="0000FF"/>
        </w:rPr>
        <w:t xml:space="preserve">las </w:t>
      </w:r>
      <w:r w:rsidR="00804ED3">
        <w:rPr>
          <w:rFonts w:ascii="Arial" w:eastAsia="Arial" w:hAnsi="Arial" w:cs="Arial"/>
          <w:i/>
          <w:color w:val="0000FF"/>
        </w:rPr>
        <w:t>inversión</w:t>
      </w:r>
      <w:proofErr w:type="gramEnd"/>
      <w:r w:rsidR="00C53381">
        <w:rPr>
          <w:rFonts w:ascii="Arial" w:eastAsia="Arial" w:hAnsi="Arial" w:cs="Arial"/>
          <w:i/>
          <w:color w:val="0000FF"/>
        </w:rPr>
        <w:t xml:space="preserve">(es) </w:t>
      </w:r>
      <w:r w:rsidR="005B1CE3">
        <w:rPr>
          <w:rFonts w:ascii="Arial" w:eastAsia="Arial" w:hAnsi="Arial" w:cs="Arial"/>
          <w:i/>
          <w:color w:val="0000FF"/>
        </w:rPr>
        <w:t>/</w:t>
      </w:r>
      <w:r w:rsidR="00C53381">
        <w:rPr>
          <w:rFonts w:ascii="Arial" w:eastAsia="Arial" w:hAnsi="Arial" w:cs="Arial"/>
          <w:i/>
          <w:color w:val="0000FF"/>
        </w:rPr>
        <w:t xml:space="preserve"> actividad(es) de operación y/o mantenimiento</w:t>
      </w:r>
      <w:r w:rsidR="005B1CE3"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</w:rPr>
        <w:t>agrupados.</w:t>
      </w:r>
    </w:p>
    <w:p w14:paraId="1BB2B648" w14:textId="3DBC0FEB" w:rsidR="007C7580" w:rsidRDefault="007C7580">
      <w:pPr>
        <w:jc w:val="both"/>
        <w:rPr>
          <w:rFonts w:ascii="Arial" w:eastAsia="Arial" w:hAnsi="Arial" w:cs="Arial"/>
          <w:i/>
          <w:iCs/>
          <w:color w:val="0000FF"/>
        </w:rPr>
      </w:pPr>
      <w:proofErr w:type="gramStart"/>
      <w:r w:rsidRPr="007C7580">
        <w:rPr>
          <w:rFonts w:ascii="Arial" w:eastAsia="Arial" w:hAnsi="Arial" w:cs="Arial"/>
          <w:i/>
          <w:iCs/>
          <w:color w:val="0000FF"/>
        </w:rPr>
        <w:t>De acuerdo al</w:t>
      </w:r>
      <w:proofErr w:type="gramEnd"/>
      <w:r w:rsidRPr="007C7580">
        <w:rPr>
          <w:rFonts w:ascii="Arial" w:eastAsia="Arial" w:hAnsi="Arial" w:cs="Arial"/>
          <w:i/>
          <w:iCs/>
          <w:color w:val="0000FF"/>
        </w:rPr>
        <w:t xml:space="preserve"> pronunciamiento vinculante emitido por la DGPPIP mediante Oficio </w:t>
      </w:r>
      <w:proofErr w:type="spellStart"/>
      <w:r w:rsidRPr="007C7580">
        <w:rPr>
          <w:rFonts w:ascii="Arial" w:eastAsia="Arial" w:hAnsi="Arial" w:cs="Arial"/>
          <w:i/>
          <w:iCs/>
          <w:color w:val="0000FF"/>
        </w:rPr>
        <w:t>N°</w:t>
      </w:r>
      <w:proofErr w:type="spellEnd"/>
      <w:r>
        <w:rPr>
          <w:rFonts w:ascii="Arial" w:eastAsia="Arial" w:hAnsi="Arial" w:cs="Arial"/>
          <w:i/>
          <w:iCs/>
          <w:color w:val="0000FF"/>
        </w:rPr>
        <w:t xml:space="preserve">                           </w:t>
      </w:r>
      <w:r w:rsidRPr="007C7580">
        <w:rPr>
          <w:rFonts w:ascii="Arial" w:eastAsia="Arial" w:hAnsi="Arial" w:cs="Arial"/>
          <w:i/>
          <w:iCs/>
          <w:color w:val="0000FF"/>
        </w:rPr>
        <w:t>042-20</w:t>
      </w:r>
      <w:r w:rsidR="00C10C3B">
        <w:rPr>
          <w:rFonts w:ascii="Arial" w:eastAsia="Arial" w:hAnsi="Arial" w:cs="Arial"/>
          <w:i/>
          <w:iCs/>
          <w:color w:val="0000FF"/>
        </w:rPr>
        <w:t>2</w:t>
      </w:r>
      <w:r w:rsidRPr="007C7580">
        <w:rPr>
          <w:rFonts w:ascii="Arial" w:eastAsia="Arial" w:hAnsi="Arial" w:cs="Arial"/>
          <w:i/>
          <w:iCs/>
          <w:color w:val="0000FF"/>
        </w:rPr>
        <w:t xml:space="preserve">4-EF/68.02 de fecha 08 de febrero de 2024, para efectos de la identificación de una IOARR se deberá considerar la normativa aplicable al Sistema Nacional de Programación Multianual y Gestión de Inversiones. Al respecto, los “Lineamientos para la identificación y registro de las Inversiones de Optimización, de Ampliación Marginal, de Rehabilitación y de Reposición”, aprobados mediante Resolución Directoral </w:t>
      </w:r>
      <w:proofErr w:type="spellStart"/>
      <w:r w:rsidRPr="007C7580">
        <w:rPr>
          <w:rFonts w:ascii="Arial" w:eastAsia="Arial" w:hAnsi="Arial" w:cs="Arial"/>
          <w:i/>
          <w:iCs/>
          <w:color w:val="0000FF"/>
        </w:rPr>
        <w:t>N°</w:t>
      </w:r>
      <w:proofErr w:type="spellEnd"/>
      <w:r w:rsidRPr="007C7580">
        <w:rPr>
          <w:rFonts w:ascii="Arial" w:eastAsia="Arial" w:hAnsi="Arial" w:cs="Arial"/>
          <w:i/>
          <w:iCs/>
          <w:color w:val="0000FF"/>
        </w:rPr>
        <w:t xml:space="preserve"> 005-2020-EF/63.01, y modificados por la Resolución Directoral </w:t>
      </w:r>
      <w:proofErr w:type="spellStart"/>
      <w:r w:rsidRPr="007C7580">
        <w:rPr>
          <w:rFonts w:ascii="Arial" w:eastAsia="Arial" w:hAnsi="Arial" w:cs="Arial"/>
          <w:i/>
          <w:iCs/>
          <w:color w:val="0000FF"/>
        </w:rPr>
        <w:t>N°</w:t>
      </w:r>
      <w:proofErr w:type="spellEnd"/>
      <w:r w:rsidRPr="007C7580">
        <w:rPr>
          <w:rFonts w:ascii="Arial" w:eastAsia="Arial" w:hAnsi="Arial" w:cs="Arial"/>
          <w:i/>
          <w:iCs/>
          <w:color w:val="0000FF"/>
        </w:rPr>
        <w:t xml:space="preserve"> 002-2023-EF/63.01, señalan -entre otros- que el análisis, registro y aprobación de una IOARR no se financia con gastos en estudios de </w:t>
      </w:r>
      <w:proofErr w:type="spellStart"/>
      <w:r w:rsidRPr="007C7580">
        <w:rPr>
          <w:rFonts w:ascii="Arial" w:eastAsia="Arial" w:hAnsi="Arial" w:cs="Arial"/>
          <w:i/>
          <w:iCs/>
          <w:color w:val="0000FF"/>
        </w:rPr>
        <w:t>preinversión</w:t>
      </w:r>
      <w:proofErr w:type="spellEnd"/>
      <w:r w:rsidRPr="007C7580">
        <w:rPr>
          <w:rFonts w:ascii="Arial" w:eastAsia="Arial" w:hAnsi="Arial" w:cs="Arial"/>
          <w:i/>
          <w:iCs/>
          <w:color w:val="0000FF"/>
        </w:rPr>
        <w:t xml:space="preserve">. Atendiendo a lo indicado, el Artículo 29 del Reglamento de la Ley </w:t>
      </w:r>
      <w:proofErr w:type="spellStart"/>
      <w:r w:rsidRPr="007C7580">
        <w:rPr>
          <w:rFonts w:ascii="Arial" w:eastAsia="Arial" w:hAnsi="Arial" w:cs="Arial"/>
          <w:i/>
          <w:iCs/>
          <w:color w:val="0000FF"/>
        </w:rPr>
        <w:t>N°</w:t>
      </w:r>
      <w:proofErr w:type="spellEnd"/>
      <w:r w:rsidRPr="007C7580">
        <w:rPr>
          <w:rFonts w:ascii="Arial" w:eastAsia="Arial" w:hAnsi="Arial" w:cs="Arial"/>
          <w:i/>
          <w:iCs/>
          <w:color w:val="0000FF"/>
        </w:rPr>
        <w:t xml:space="preserve"> 29230 no contempla la identificación de una IOARR (desarrollo de una idea de IOARR) como un supuesto en el cual corresponde el rembolso de los costos a cargo de la empresa proponente de la iniciativa privada</w:t>
      </w:r>
      <w:r w:rsidR="00D41601">
        <w:rPr>
          <w:rFonts w:ascii="Arial" w:eastAsia="Arial" w:hAnsi="Arial" w:cs="Arial"/>
          <w:i/>
          <w:iCs/>
          <w:color w:val="0000FF"/>
        </w:rPr>
        <w:t>.</w:t>
      </w:r>
    </w:p>
    <w:p w14:paraId="042BD9F9" w14:textId="1A40817D" w:rsidR="005D4D3A" w:rsidRDefault="001A5C60">
      <w:pPr>
        <w:jc w:val="both"/>
        <w:rPr>
          <w:rFonts w:ascii="Arial" w:eastAsia="Arial" w:hAnsi="Arial" w:cs="Arial"/>
          <w:i/>
          <w:iCs/>
          <w:color w:val="0000FF"/>
        </w:rPr>
      </w:pPr>
      <w:r w:rsidRPr="001A5C60">
        <w:rPr>
          <w:rFonts w:ascii="Arial" w:eastAsia="Arial" w:hAnsi="Arial" w:cs="Arial"/>
          <w:i/>
          <w:iCs/>
          <w:color w:val="0000FF"/>
        </w:rPr>
        <w:t xml:space="preserve">En caso de que la iniciativa privada proponga la actualización del estudio de </w:t>
      </w:r>
      <w:proofErr w:type="spellStart"/>
      <w:r w:rsidRPr="001A5C60">
        <w:rPr>
          <w:rFonts w:ascii="Arial" w:eastAsia="Arial" w:hAnsi="Arial" w:cs="Arial"/>
          <w:i/>
          <w:iCs/>
          <w:color w:val="0000FF"/>
        </w:rPr>
        <w:t>preinversión</w:t>
      </w:r>
      <w:proofErr w:type="spellEnd"/>
      <w:r w:rsidRPr="001A5C60">
        <w:rPr>
          <w:rFonts w:ascii="Arial" w:eastAsia="Arial" w:hAnsi="Arial" w:cs="Arial"/>
          <w:i/>
          <w:iCs/>
          <w:color w:val="0000FF"/>
        </w:rPr>
        <w:t xml:space="preserve"> o ficha técnica que sustentó la declaratoria de viabilidad proyectos de inversión en el marco del SNPMGI, </w:t>
      </w:r>
      <w:r w:rsidR="00806478">
        <w:rPr>
          <w:rFonts w:ascii="Arial" w:eastAsia="Arial" w:hAnsi="Arial" w:cs="Arial"/>
          <w:i/>
          <w:iCs/>
          <w:color w:val="0000FF"/>
        </w:rPr>
        <w:t>e</w:t>
      </w:r>
      <w:r w:rsidR="00880BBF" w:rsidRPr="00880BBF">
        <w:rPr>
          <w:rFonts w:ascii="Arial" w:eastAsia="Arial" w:hAnsi="Arial" w:cs="Arial"/>
          <w:i/>
          <w:iCs/>
          <w:color w:val="0000FF"/>
        </w:rPr>
        <w:t xml:space="preserve">l titular de la entidad debe contar con la opinión previa de la Unidad </w:t>
      </w:r>
      <w:r w:rsidR="00880BBF" w:rsidRPr="00880BBF">
        <w:rPr>
          <w:rFonts w:ascii="Arial" w:eastAsia="Arial" w:hAnsi="Arial" w:cs="Arial"/>
          <w:i/>
          <w:iCs/>
          <w:color w:val="0000FF"/>
        </w:rPr>
        <w:lastRenderedPageBreak/>
        <w:t>Formuladora en la que se evalúe y determine si corresponde dicha actualización, considerando las disposiciones que establecidas en el SNPMGI</w:t>
      </w:r>
      <w:r w:rsidR="00880BBF">
        <w:rPr>
          <w:rFonts w:ascii="Arial" w:eastAsia="Arial" w:hAnsi="Arial" w:cs="Arial"/>
          <w:i/>
          <w:iCs/>
          <w:color w:val="0000FF"/>
        </w:rPr>
        <w:t>.</w:t>
      </w:r>
    </w:p>
    <w:p w14:paraId="3C72A9F9" w14:textId="6B344039" w:rsidR="006E3772" w:rsidRPr="006E3772" w:rsidRDefault="006E3772" w:rsidP="00ED1EFB">
      <w:pPr>
        <w:jc w:val="both"/>
        <w:rPr>
          <w:rFonts w:ascii="Arial" w:eastAsia="Arial" w:hAnsi="Arial" w:cs="Arial"/>
          <w:i/>
          <w:iCs/>
          <w:color w:val="0000FF"/>
        </w:rPr>
      </w:pPr>
      <w:r>
        <w:rPr>
          <w:rFonts w:ascii="Arial" w:eastAsia="Arial" w:hAnsi="Arial" w:cs="Arial"/>
          <w:i/>
          <w:iCs/>
          <w:color w:val="0000FF"/>
        </w:rPr>
        <w:t>El párrafo</w:t>
      </w:r>
      <w:r w:rsidRPr="006E3772">
        <w:rPr>
          <w:rFonts w:ascii="Arial" w:eastAsia="Arial" w:hAnsi="Arial" w:cs="Arial"/>
          <w:i/>
          <w:iCs/>
          <w:color w:val="0000FF"/>
        </w:rPr>
        <w:t xml:space="preserve"> 24.2 </w:t>
      </w:r>
      <w:r>
        <w:rPr>
          <w:rFonts w:ascii="Arial" w:eastAsia="Arial" w:hAnsi="Arial" w:cs="Arial"/>
          <w:i/>
          <w:iCs/>
          <w:color w:val="0000FF"/>
        </w:rPr>
        <w:t xml:space="preserve">del </w:t>
      </w:r>
      <w:r w:rsidRPr="006E3772">
        <w:rPr>
          <w:rFonts w:ascii="Arial" w:eastAsia="Arial" w:hAnsi="Arial" w:cs="Arial"/>
          <w:i/>
          <w:iCs/>
          <w:color w:val="0000FF"/>
        </w:rPr>
        <w:t>art</w:t>
      </w:r>
      <w:r w:rsidR="00ED1EFB">
        <w:rPr>
          <w:rFonts w:ascii="Arial" w:eastAsia="Arial" w:hAnsi="Arial" w:cs="Arial"/>
          <w:i/>
          <w:iCs/>
          <w:color w:val="0000FF"/>
        </w:rPr>
        <w:t>ículo</w:t>
      </w:r>
      <w:r w:rsidRPr="006E3772">
        <w:rPr>
          <w:rFonts w:ascii="Arial" w:eastAsia="Arial" w:hAnsi="Arial" w:cs="Arial"/>
          <w:i/>
          <w:iCs/>
          <w:color w:val="0000FF"/>
        </w:rPr>
        <w:t xml:space="preserve"> 24 el Reglamento </w:t>
      </w:r>
      <w:r w:rsidR="00ED1EFB">
        <w:rPr>
          <w:rFonts w:ascii="Arial" w:eastAsia="Arial" w:hAnsi="Arial" w:cs="Arial"/>
          <w:i/>
          <w:iCs/>
          <w:color w:val="0000FF"/>
        </w:rPr>
        <w:t>establece que l</w:t>
      </w:r>
      <w:r w:rsidRPr="006E3772">
        <w:rPr>
          <w:rFonts w:ascii="Arial" w:eastAsia="Arial" w:hAnsi="Arial" w:cs="Arial"/>
          <w:i/>
          <w:iCs/>
          <w:color w:val="0000FF"/>
        </w:rPr>
        <w:t xml:space="preserve">as iniciativas privadas tienen el carácter de petición de gracia a la que se refiere el artículo 112 de la Ley </w:t>
      </w:r>
      <w:proofErr w:type="spellStart"/>
      <w:r w:rsidRPr="006E3772">
        <w:rPr>
          <w:rFonts w:ascii="Arial" w:eastAsia="Arial" w:hAnsi="Arial" w:cs="Arial"/>
          <w:i/>
          <w:iCs/>
          <w:color w:val="0000FF"/>
        </w:rPr>
        <w:t>N°</w:t>
      </w:r>
      <w:proofErr w:type="spellEnd"/>
      <w:r w:rsidRPr="006E3772">
        <w:rPr>
          <w:rFonts w:ascii="Arial" w:eastAsia="Arial" w:hAnsi="Arial" w:cs="Arial"/>
          <w:i/>
          <w:iCs/>
          <w:color w:val="0000FF"/>
        </w:rPr>
        <w:t xml:space="preserve"> 27444, manteniendo dicho carácter hasta la convocatoria del proceso de selección, sin posibilidad de cuestionar o impugnar su rechazo en sede administrativa o judicial</w:t>
      </w:r>
      <w:r w:rsidR="00ED1EFB">
        <w:rPr>
          <w:rFonts w:ascii="Arial" w:eastAsia="Arial" w:hAnsi="Arial" w:cs="Arial"/>
          <w:i/>
          <w:iCs/>
          <w:color w:val="0000FF"/>
        </w:rPr>
        <w:t>.</w:t>
      </w:r>
    </w:p>
    <w:p w14:paraId="3BD2FA07" w14:textId="77777777" w:rsidR="006E3772" w:rsidRDefault="006E3772">
      <w:pPr>
        <w:jc w:val="both"/>
        <w:rPr>
          <w:rFonts w:ascii="Arial" w:eastAsia="Arial" w:hAnsi="Arial" w:cs="Arial"/>
          <w:i/>
          <w:iCs/>
          <w:color w:val="0000FF"/>
        </w:rPr>
      </w:pPr>
    </w:p>
    <w:p w14:paraId="7616D2FE" w14:textId="77777777" w:rsidR="005D4D3A" w:rsidRDefault="005D4D3A">
      <w:pPr>
        <w:jc w:val="both"/>
        <w:rPr>
          <w:rFonts w:ascii="Arial" w:eastAsia="Arial" w:hAnsi="Arial" w:cs="Arial"/>
          <w:i/>
          <w:color w:val="0000FF"/>
        </w:rPr>
      </w:pPr>
    </w:p>
    <w:p w14:paraId="4A7854B4" w14:textId="77777777" w:rsidR="00806478" w:rsidRDefault="0080647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61A963D8" w14:textId="7F285CAD" w:rsidR="00710836" w:rsidRDefault="001C738F">
      <w:pPr>
        <w:jc w:val="right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</w:rPr>
        <w:lastRenderedPageBreak/>
        <w:t xml:space="preserve">Lima, </w:t>
      </w:r>
      <w:r>
        <w:rPr>
          <w:rFonts w:ascii="Arial" w:eastAsia="Arial" w:hAnsi="Arial" w:cs="Arial"/>
          <w:b/>
          <w:color w:val="0000FF"/>
        </w:rPr>
        <w:t>[INDICAR DÍA, MES Y AÑO]</w:t>
      </w:r>
    </w:p>
    <w:p w14:paraId="3A683946" w14:textId="77777777" w:rsidR="00710836" w:rsidRDefault="001C738F">
      <w:pPr>
        <w:rPr>
          <w:rFonts w:ascii="Arial" w:eastAsia="Arial" w:hAnsi="Arial" w:cs="Arial"/>
          <w:b/>
          <w:color w:val="0000FF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Carta </w:t>
      </w:r>
      <w:proofErr w:type="spellStart"/>
      <w:r>
        <w:rPr>
          <w:rFonts w:ascii="Arial" w:eastAsia="Arial" w:hAnsi="Arial" w:cs="Arial"/>
          <w:b/>
          <w:u w:val="single"/>
        </w:rPr>
        <w:t>N°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  <w:color w:val="0000FF"/>
          <w:u w:val="single"/>
        </w:rPr>
        <w:t xml:space="preserve">[INDICAR </w:t>
      </w:r>
      <w:proofErr w:type="spellStart"/>
      <w:r>
        <w:rPr>
          <w:rFonts w:ascii="Arial" w:eastAsia="Arial" w:hAnsi="Arial" w:cs="Arial"/>
          <w:b/>
          <w:color w:val="0000FF"/>
          <w:u w:val="single"/>
        </w:rPr>
        <w:t>N°</w:t>
      </w:r>
      <w:proofErr w:type="spellEnd"/>
      <w:r>
        <w:rPr>
          <w:rFonts w:ascii="Arial" w:eastAsia="Arial" w:hAnsi="Arial" w:cs="Arial"/>
          <w:b/>
          <w:color w:val="0000FF"/>
          <w:u w:val="single"/>
        </w:rPr>
        <w:t xml:space="preserve"> DE CARTA] – [AÑO] – [MEMBRETE DE LA ENTIDAD PÚBLICA]</w:t>
      </w:r>
    </w:p>
    <w:p w14:paraId="4B6A0A2C" w14:textId="77777777" w:rsidR="00710836" w:rsidRDefault="00710836">
      <w:pPr>
        <w:spacing w:after="0"/>
        <w:rPr>
          <w:rFonts w:ascii="Arial" w:eastAsia="Arial" w:hAnsi="Arial" w:cs="Arial"/>
        </w:rPr>
      </w:pPr>
    </w:p>
    <w:p w14:paraId="3E15085C" w14:textId="77777777" w:rsidR="00710836" w:rsidRDefault="001C73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 (a)</w:t>
      </w:r>
    </w:p>
    <w:p w14:paraId="47EE8B1C" w14:textId="77777777" w:rsidR="00710836" w:rsidRDefault="001C738F">
      <w:pPr>
        <w:spacing w:after="0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  <w:color w:val="0000FF"/>
        </w:rPr>
        <w:t>[INDICAR NOMBRE DEL REPRESENTANTE DE LA EMPRESA PRIVADA O CONSORCIO]</w:t>
      </w:r>
    </w:p>
    <w:p w14:paraId="255B9B46" w14:textId="77777777" w:rsidR="00710836" w:rsidRDefault="001C738F">
      <w:pPr>
        <w:spacing w:after="0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  <w:color w:val="0000FF"/>
        </w:rPr>
        <w:t>[INDICAR CARGO DEL REPRESENTANTE DE LA EMPRESA PRIVADA O CONSORCIO]</w:t>
      </w:r>
    </w:p>
    <w:p w14:paraId="466087B3" w14:textId="77777777" w:rsidR="00710836" w:rsidRDefault="001C738F">
      <w:pPr>
        <w:spacing w:after="0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  <w:color w:val="0000FF"/>
        </w:rPr>
        <w:t>[INDICAR NOMBRE DE LA EMPRESA PRIVADA O CONSORCIO]</w:t>
      </w:r>
    </w:p>
    <w:p w14:paraId="0042AB82" w14:textId="77777777" w:rsidR="00710836" w:rsidRDefault="001C738F">
      <w:pPr>
        <w:spacing w:after="0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  <w:color w:val="0000FF"/>
        </w:rPr>
        <w:t>[INDICAR DIRECCIÓN DE LA EMPRESA PRIVADA O CONSORCIO]</w:t>
      </w:r>
    </w:p>
    <w:p w14:paraId="18BA46A9" w14:textId="77777777" w:rsidR="00710836" w:rsidRDefault="001C738F">
      <w:pPr>
        <w:spacing w:after="0"/>
        <w:rPr>
          <w:rFonts w:ascii="Arial" w:eastAsia="Arial" w:hAnsi="Arial" w:cs="Arial"/>
          <w:b/>
          <w:u w:val="single"/>
        </w:rPr>
      </w:pPr>
      <w:proofErr w:type="gramStart"/>
      <w:r>
        <w:rPr>
          <w:rFonts w:ascii="Arial" w:eastAsia="Arial" w:hAnsi="Arial" w:cs="Arial"/>
          <w:b/>
          <w:u w:val="single"/>
        </w:rPr>
        <w:t>Presente</w:t>
      </w:r>
      <w:r>
        <w:rPr>
          <w:rFonts w:ascii="Arial" w:eastAsia="Arial" w:hAnsi="Arial" w:cs="Arial"/>
          <w:b/>
        </w:rPr>
        <w:t>.-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14:paraId="3D359039" w14:textId="77777777" w:rsidR="00710836" w:rsidRDefault="00710836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8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090"/>
      </w:tblGrid>
      <w:tr w:rsidR="00710836" w14:paraId="60609E77" w14:textId="77777777">
        <w:trPr>
          <w:trHeight w:val="565"/>
        </w:trPr>
        <w:tc>
          <w:tcPr>
            <w:tcW w:w="2405" w:type="dxa"/>
          </w:tcPr>
          <w:p w14:paraId="4AEA9FD9" w14:textId="77777777" w:rsidR="00710836" w:rsidRDefault="001C738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Asunto                 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:</w:t>
            </w:r>
            <w:proofErr w:type="gramEnd"/>
          </w:p>
        </w:tc>
        <w:tc>
          <w:tcPr>
            <w:tcW w:w="6090" w:type="dxa"/>
          </w:tcPr>
          <w:p w14:paraId="26031C47" w14:textId="1A7C0F9C" w:rsidR="00710836" w:rsidRDefault="001C738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 a la carta de intención para el desarrollo de</w:t>
            </w:r>
            <w:r w:rsidR="001215B6">
              <w:rPr>
                <w:rFonts w:ascii="Arial" w:eastAsia="Arial" w:hAnsi="Arial" w:cs="Arial"/>
              </w:rPr>
              <w:t xml:space="preserve"> </w:t>
            </w:r>
            <w:r w:rsidR="00652012">
              <w:rPr>
                <w:rFonts w:ascii="Arial" w:eastAsia="Arial" w:hAnsi="Arial" w:cs="Arial"/>
              </w:rPr>
              <w:t>l</w:t>
            </w:r>
            <w:r w:rsidR="001215B6">
              <w:rPr>
                <w:rFonts w:ascii="Arial" w:eastAsia="Arial" w:hAnsi="Arial" w:cs="Arial"/>
              </w:rPr>
              <w:t>a(s)</w:t>
            </w:r>
            <w:r w:rsidR="00652012">
              <w:rPr>
                <w:rFonts w:ascii="Arial" w:eastAsia="Arial" w:hAnsi="Arial" w:cs="Arial"/>
              </w:rPr>
              <w:t xml:space="preserve"> </w:t>
            </w:r>
            <w:r w:rsidR="00E17405">
              <w:rPr>
                <w:rFonts w:ascii="Arial" w:eastAsia="Arial" w:hAnsi="Arial" w:cs="Arial"/>
              </w:rPr>
              <w:t>inversi</w:t>
            </w:r>
            <w:r w:rsidR="00A84E8F">
              <w:rPr>
                <w:rFonts w:ascii="Arial" w:eastAsia="Arial" w:hAnsi="Arial" w:cs="Arial"/>
              </w:rPr>
              <w:t>ó</w:t>
            </w:r>
            <w:r w:rsidR="00E17405">
              <w:rPr>
                <w:rFonts w:ascii="Arial" w:eastAsia="Arial" w:hAnsi="Arial" w:cs="Arial"/>
              </w:rPr>
              <w:t>n</w:t>
            </w:r>
            <w:r w:rsidR="00C53381">
              <w:rPr>
                <w:rFonts w:ascii="Arial" w:eastAsia="Arial" w:hAnsi="Arial" w:cs="Arial"/>
              </w:rPr>
              <w:t>(</w:t>
            </w:r>
            <w:r w:rsidR="00E17405">
              <w:rPr>
                <w:rFonts w:ascii="Arial" w:eastAsia="Arial" w:hAnsi="Arial" w:cs="Arial"/>
              </w:rPr>
              <w:t>es</w:t>
            </w:r>
            <w:r w:rsidR="00C53381">
              <w:rPr>
                <w:rFonts w:ascii="Arial" w:eastAsia="Arial" w:hAnsi="Arial" w:cs="Arial"/>
              </w:rPr>
              <w:t>)</w:t>
            </w:r>
            <w:r w:rsidR="00E17405">
              <w:rPr>
                <w:rFonts w:ascii="Arial" w:eastAsia="Arial" w:hAnsi="Arial" w:cs="Arial"/>
              </w:rPr>
              <w:t xml:space="preserve"> </w:t>
            </w:r>
            <w:r w:rsidR="005B1CE3">
              <w:rPr>
                <w:rFonts w:ascii="Arial" w:eastAsia="Arial" w:hAnsi="Arial" w:cs="Arial"/>
              </w:rPr>
              <w:t>/</w:t>
            </w:r>
            <w:r w:rsidR="00E17405">
              <w:rPr>
                <w:rFonts w:ascii="Arial" w:eastAsia="Arial" w:hAnsi="Arial" w:cs="Arial"/>
              </w:rPr>
              <w:t xml:space="preserve"> actividad(es) de operación y</w:t>
            </w:r>
            <w:r w:rsidR="005B1CE3">
              <w:rPr>
                <w:rFonts w:ascii="Arial" w:eastAsia="Arial" w:hAnsi="Arial" w:cs="Arial"/>
              </w:rPr>
              <w:t>/o</w:t>
            </w:r>
            <w:r w:rsidR="00E17405">
              <w:rPr>
                <w:rFonts w:ascii="Arial" w:eastAsia="Arial" w:hAnsi="Arial" w:cs="Arial"/>
              </w:rPr>
              <w:t xml:space="preserve"> mantenimiento</w:t>
            </w:r>
            <w:r w:rsidR="005B1CE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</w:rPr>
              <w:t>[INDICAR NOMBRE PRELIMINAR</w:t>
            </w:r>
            <w:r w:rsidR="002E47DF">
              <w:rPr>
                <w:rFonts w:ascii="Arial" w:eastAsia="Arial" w:hAnsi="Arial" w:cs="Arial"/>
                <w:color w:val="0000FF"/>
              </w:rPr>
              <w:t xml:space="preserve"> DE</w:t>
            </w:r>
            <w:r>
              <w:rPr>
                <w:rFonts w:ascii="Arial" w:eastAsia="Arial" w:hAnsi="Arial" w:cs="Arial"/>
                <w:color w:val="0000FF"/>
              </w:rPr>
              <w:t xml:space="preserve"> </w:t>
            </w:r>
            <w:r w:rsidR="00A747A7" w:rsidRPr="00A747A7">
              <w:rPr>
                <w:rFonts w:ascii="Arial" w:eastAsia="Arial" w:hAnsi="Arial" w:cs="Arial"/>
                <w:color w:val="0000FF"/>
              </w:rPr>
              <w:t>LA(S) INVERSIÓN(ES) / ACTIVIDAD(ES) DE OPERACIÓN Y/O MANTENIMIENTO</w:t>
            </w:r>
            <w:r>
              <w:rPr>
                <w:rFonts w:ascii="Arial" w:eastAsia="Arial" w:hAnsi="Arial" w:cs="Arial"/>
                <w:color w:val="0000FF"/>
              </w:rPr>
              <w:t>]</w:t>
            </w:r>
            <w:r w:rsidR="002F00C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para ser financiado y ejecutado bajo el mecanismo de Obras por Impuestos</w:t>
            </w:r>
          </w:p>
        </w:tc>
      </w:tr>
      <w:tr w:rsidR="00710836" w14:paraId="39B26D8D" w14:textId="77777777">
        <w:trPr>
          <w:trHeight w:val="364"/>
        </w:trPr>
        <w:tc>
          <w:tcPr>
            <w:tcW w:w="2405" w:type="dxa"/>
            <w:vAlign w:val="center"/>
          </w:tcPr>
          <w:p w14:paraId="75AC30CA" w14:textId="77777777" w:rsidR="00710836" w:rsidRDefault="001C738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Referencia           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:</w:t>
            </w:r>
            <w:proofErr w:type="gramEnd"/>
          </w:p>
        </w:tc>
        <w:tc>
          <w:tcPr>
            <w:tcW w:w="6090" w:type="dxa"/>
            <w:vAlign w:val="center"/>
          </w:tcPr>
          <w:p w14:paraId="69D8B55C" w14:textId="77777777" w:rsidR="00710836" w:rsidRDefault="001C738F">
            <w:pPr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color w:val="0000FF"/>
              </w:rPr>
              <w:t xml:space="preserve">[INDICAR </w:t>
            </w:r>
            <w:proofErr w:type="spellStart"/>
            <w:r>
              <w:rPr>
                <w:rFonts w:ascii="Arial" w:eastAsia="Arial" w:hAnsi="Arial" w:cs="Arial"/>
                <w:color w:val="0000FF"/>
              </w:rPr>
              <w:t>N°</w:t>
            </w:r>
            <w:proofErr w:type="spellEnd"/>
            <w:r>
              <w:rPr>
                <w:rFonts w:ascii="Arial" w:eastAsia="Arial" w:hAnsi="Arial" w:cs="Arial"/>
                <w:color w:val="0000FF"/>
              </w:rPr>
              <w:t xml:space="preserve"> DE CARTA DE LA REFERENCIA]</w:t>
            </w:r>
          </w:p>
        </w:tc>
      </w:tr>
    </w:tbl>
    <w:p w14:paraId="0D219FFB" w14:textId="77777777" w:rsidR="00710836" w:rsidRDefault="00710836">
      <w:pPr>
        <w:spacing w:after="0"/>
        <w:rPr>
          <w:rFonts w:ascii="Arial" w:eastAsia="Arial" w:hAnsi="Arial" w:cs="Arial"/>
          <w:b/>
        </w:rPr>
      </w:pPr>
    </w:p>
    <w:p w14:paraId="5E0306EC" w14:textId="68D2924B" w:rsidR="00710836" w:rsidRDefault="001C738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Tengo el agrado de dirigirme a usted en relación con el documento de la referencia, mediante el cual su representada manifiesta el interés en financiar y ejecutar</w:t>
      </w:r>
      <w:r w:rsidR="00652012">
        <w:rPr>
          <w:rFonts w:ascii="Arial" w:eastAsia="Arial" w:hAnsi="Arial" w:cs="Arial"/>
        </w:rPr>
        <w:t xml:space="preserve"> </w:t>
      </w:r>
      <w:r w:rsidR="0018582E">
        <w:rPr>
          <w:rFonts w:ascii="Arial" w:eastAsia="Arial" w:hAnsi="Arial" w:cs="Arial"/>
        </w:rPr>
        <w:t xml:space="preserve">la(s) inversión(es) / actividad(es) de operación y/o mantenimiento </w:t>
      </w:r>
      <w:r>
        <w:rPr>
          <w:rFonts w:ascii="Arial" w:eastAsia="Arial" w:hAnsi="Arial" w:cs="Arial"/>
          <w:color w:val="0000FF"/>
        </w:rPr>
        <w:t xml:space="preserve">[INDICAR NOMBRE PRELIMINAR </w:t>
      </w:r>
      <w:r w:rsidR="008611BD">
        <w:rPr>
          <w:rFonts w:ascii="Arial" w:eastAsia="Arial" w:hAnsi="Arial" w:cs="Arial"/>
          <w:color w:val="0000FF"/>
        </w:rPr>
        <w:t xml:space="preserve">DE </w:t>
      </w:r>
      <w:r w:rsidR="008611BD" w:rsidRPr="00A747A7">
        <w:rPr>
          <w:rFonts w:ascii="Arial" w:eastAsia="Arial" w:hAnsi="Arial" w:cs="Arial"/>
          <w:color w:val="0000FF"/>
        </w:rPr>
        <w:t>LA(S) INVERSIÓN(ES) / ACTIVIDAD(ES) DE OPERACIÓN Y/O MANTENIMIENTO</w:t>
      </w:r>
      <w:r>
        <w:rPr>
          <w:rFonts w:ascii="Arial" w:eastAsia="Arial" w:hAnsi="Arial" w:cs="Arial"/>
          <w:color w:val="0000FF"/>
        </w:rPr>
        <w:t>]</w:t>
      </w:r>
      <w:r>
        <w:rPr>
          <w:rFonts w:ascii="Arial" w:eastAsia="Arial" w:hAnsi="Arial" w:cs="Arial"/>
        </w:rPr>
        <w:t xml:space="preserve"> </w:t>
      </w:r>
      <w:r w:rsidR="007C7580" w:rsidRPr="007C7580">
        <w:rPr>
          <w:rFonts w:ascii="Arial" w:eastAsia="Arial" w:hAnsi="Arial" w:cs="Arial"/>
        </w:rPr>
        <w:t xml:space="preserve">mediante la modalidad de Obras por Impuestos, regulado por la Ley </w:t>
      </w:r>
      <w:proofErr w:type="spellStart"/>
      <w:r w:rsidR="007C7580" w:rsidRPr="007C7580">
        <w:rPr>
          <w:rFonts w:ascii="Arial" w:eastAsia="Arial" w:hAnsi="Arial" w:cs="Arial"/>
        </w:rPr>
        <w:t>N°</w:t>
      </w:r>
      <w:proofErr w:type="spellEnd"/>
      <w:r w:rsidR="003C188E">
        <w:rPr>
          <w:rFonts w:ascii="Arial" w:eastAsia="Arial" w:hAnsi="Arial" w:cs="Arial"/>
        </w:rPr>
        <w:t xml:space="preserve"> </w:t>
      </w:r>
      <w:r w:rsidR="007C7580" w:rsidRPr="007C7580">
        <w:rPr>
          <w:rFonts w:ascii="Arial" w:eastAsia="Arial" w:hAnsi="Arial" w:cs="Arial"/>
        </w:rPr>
        <w:t xml:space="preserve">29230, Ley que impulsa la inversión pública regional y local con participación del sector privado (en adelante, la Ley </w:t>
      </w:r>
      <w:proofErr w:type="spellStart"/>
      <w:r w:rsidR="007C7580" w:rsidRPr="007C7580">
        <w:rPr>
          <w:rFonts w:ascii="Arial" w:eastAsia="Arial" w:hAnsi="Arial" w:cs="Arial"/>
        </w:rPr>
        <w:t>N°</w:t>
      </w:r>
      <w:proofErr w:type="spellEnd"/>
      <w:r w:rsidR="007C7580" w:rsidRPr="007C7580">
        <w:rPr>
          <w:rFonts w:ascii="Arial" w:eastAsia="Arial" w:hAnsi="Arial" w:cs="Arial"/>
        </w:rPr>
        <w:t xml:space="preserve"> 29230); y por el Reglamento de la Ley </w:t>
      </w:r>
      <w:proofErr w:type="spellStart"/>
      <w:r w:rsidR="007C7580" w:rsidRPr="007C7580">
        <w:rPr>
          <w:rFonts w:ascii="Arial" w:eastAsia="Arial" w:hAnsi="Arial" w:cs="Arial"/>
        </w:rPr>
        <w:t>N°</w:t>
      </w:r>
      <w:proofErr w:type="spellEnd"/>
      <w:r w:rsidR="007C7580" w:rsidRPr="007C7580">
        <w:rPr>
          <w:rFonts w:ascii="Arial" w:eastAsia="Arial" w:hAnsi="Arial" w:cs="Arial"/>
        </w:rPr>
        <w:t xml:space="preserve"> 29230, aprobado por el Decreto Supremo </w:t>
      </w:r>
      <w:proofErr w:type="spellStart"/>
      <w:r w:rsidR="007C7580" w:rsidRPr="007C7580">
        <w:rPr>
          <w:rFonts w:ascii="Arial" w:eastAsia="Arial" w:hAnsi="Arial" w:cs="Arial"/>
        </w:rPr>
        <w:t>N°</w:t>
      </w:r>
      <w:proofErr w:type="spellEnd"/>
      <w:r w:rsidR="007C7580" w:rsidRPr="007C7580">
        <w:rPr>
          <w:rFonts w:ascii="Arial" w:eastAsia="Arial" w:hAnsi="Arial" w:cs="Arial"/>
        </w:rPr>
        <w:t xml:space="preserve"> 210-2022-EF (en adelante, el Reglamento de la Ley </w:t>
      </w:r>
      <w:proofErr w:type="spellStart"/>
      <w:r w:rsidR="007C7580" w:rsidRPr="007C7580">
        <w:rPr>
          <w:rFonts w:ascii="Arial" w:eastAsia="Arial" w:hAnsi="Arial" w:cs="Arial"/>
        </w:rPr>
        <w:t>N°</w:t>
      </w:r>
      <w:proofErr w:type="spellEnd"/>
      <w:r w:rsidR="007C7580" w:rsidRPr="007C7580">
        <w:rPr>
          <w:rFonts w:ascii="Arial" w:eastAsia="Arial" w:hAnsi="Arial" w:cs="Arial"/>
        </w:rPr>
        <w:t xml:space="preserve"> 29230).</w:t>
      </w:r>
      <w:r w:rsidR="007C7580" w:rsidRPr="007C7580" w:rsidDel="007C7580">
        <w:rPr>
          <w:rFonts w:ascii="Arial" w:eastAsia="Arial" w:hAnsi="Arial" w:cs="Arial"/>
        </w:rPr>
        <w:t xml:space="preserve"> </w:t>
      </w:r>
    </w:p>
    <w:p w14:paraId="352D620E" w14:textId="77777777" w:rsidR="00710836" w:rsidRDefault="00710836">
      <w:pPr>
        <w:spacing w:after="0"/>
        <w:jc w:val="both"/>
        <w:rPr>
          <w:rFonts w:ascii="Arial" w:eastAsia="Arial" w:hAnsi="Arial" w:cs="Arial"/>
        </w:rPr>
      </w:pPr>
    </w:p>
    <w:p w14:paraId="29177027" w14:textId="16CEFF7D" w:rsidR="00710836" w:rsidRDefault="001C738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 respecto, según lo estipulado en el numeral </w:t>
      </w:r>
      <w:r w:rsidR="007C7580">
        <w:rPr>
          <w:rFonts w:ascii="Arial" w:eastAsia="Arial" w:hAnsi="Arial" w:cs="Arial"/>
        </w:rPr>
        <w:t>25.1</w:t>
      </w:r>
      <w:r>
        <w:rPr>
          <w:rFonts w:ascii="Arial" w:eastAsia="Arial" w:hAnsi="Arial" w:cs="Arial"/>
        </w:rPr>
        <w:t xml:space="preserve"> del artículo </w:t>
      </w:r>
      <w:r w:rsidR="007C7580">
        <w:rPr>
          <w:rFonts w:ascii="Arial" w:eastAsia="Arial" w:hAnsi="Arial" w:cs="Arial"/>
        </w:rPr>
        <w:t xml:space="preserve">25 </w:t>
      </w:r>
      <w:r>
        <w:rPr>
          <w:rFonts w:ascii="Arial" w:eastAsia="Arial" w:hAnsi="Arial" w:cs="Arial"/>
        </w:rPr>
        <w:t xml:space="preserve">del Reglamento de la Ley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 29230, mediante Informe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FF"/>
        </w:rPr>
        <w:t xml:space="preserve">[INDICAR NÚMERO DE INFORME], </w:t>
      </w:r>
      <w:r>
        <w:rPr>
          <w:rFonts w:ascii="Arial" w:eastAsia="Arial" w:hAnsi="Arial" w:cs="Arial"/>
        </w:rPr>
        <w:t>la Oficina de Programación Multianual de Inversiones informa sobre la importancia del desarrollo de</w:t>
      </w:r>
      <w:r w:rsidR="00652012">
        <w:rPr>
          <w:rFonts w:ascii="Arial" w:eastAsia="Arial" w:hAnsi="Arial" w:cs="Arial"/>
        </w:rPr>
        <w:t xml:space="preserve">l </w:t>
      </w:r>
      <w:r w:rsidR="001C10B1" w:rsidRPr="001C10B1">
        <w:rPr>
          <w:rFonts w:ascii="Arial" w:eastAsia="Arial" w:hAnsi="Arial" w:cs="Arial"/>
          <w:color w:val="0000FF"/>
        </w:rPr>
        <w:t>[PROYECTO DE INVERSIÓN(ES) / ACTIVIDAD(ES) DE OPERACIÓN Y/O MANTENIMIENTO / IOARR</w:t>
      </w:r>
      <w:r w:rsidR="001C10B1">
        <w:rPr>
          <w:rFonts w:ascii="Arial" w:eastAsia="Arial" w:hAnsi="Arial" w:cs="Arial"/>
          <w:color w:val="0000FF"/>
        </w:rPr>
        <w:t>]</w:t>
      </w:r>
      <w:r w:rsidR="001C10B1" w:rsidRPr="001C10B1">
        <w:rPr>
          <w:rFonts w:ascii="Arial" w:eastAsia="Arial" w:hAnsi="Arial" w:cs="Arial"/>
          <w:color w:val="0000FF"/>
        </w:rPr>
        <w:t xml:space="preserve"> </w:t>
      </w:r>
      <w:r w:rsidR="00FD081F" w:rsidRPr="00FD081F">
        <w:rPr>
          <w:rFonts w:ascii="Arial" w:eastAsia="Arial" w:hAnsi="Arial" w:cs="Arial"/>
          <w:color w:val="000000" w:themeColor="text1"/>
        </w:rPr>
        <w:t>y</w:t>
      </w:r>
      <w:r w:rsidR="00FD081F">
        <w:rPr>
          <w:rFonts w:ascii="Arial" w:eastAsia="Arial" w:hAnsi="Arial" w:cs="Arial"/>
          <w:color w:val="000000" w:themeColor="text1"/>
        </w:rPr>
        <w:t xml:space="preserve"> su</w:t>
      </w:r>
      <w:r w:rsidR="00FD081F" w:rsidRPr="00FD081F">
        <w:rPr>
          <w:rFonts w:ascii="Arial" w:eastAsia="Arial" w:hAnsi="Arial" w:cs="Arial"/>
          <w:color w:val="000000" w:themeColor="text1"/>
        </w:rPr>
        <w:t xml:space="preserve"> consistencia con las prioridades nacionales, regionales o locales, según corresponda, </w:t>
      </w:r>
      <w:r w:rsidR="00FD081F">
        <w:rPr>
          <w:rFonts w:ascii="Arial" w:eastAsia="Arial" w:hAnsi="Arial" w:cs="Arial"/>
          <w:color w:val="000000" w:themeColor="text1"/>
        </w:rPr>
        <w:t>así como</w:t>
      </w:r>
      <w:r w:rsidR="00FD081F" w:rsidRPr="00FD081F">
        <w:rPr>
          <w:rFonts w:ascii="Arial" w:eastAsia="Arial" w:hAnsi="Arial" w:cs="Arial"/>
          <w:color w:val="000000" w:themeColor="text1"/>
        </w:rPr>
        <w:t xml:space="preserve"> su congruencia con los planes nacionales, sectoriales, planes de desarrollo concertados regionales y locales</w:t>
      </w:r>
      <w:r w:rsidR="00FD081F">
        <w:rPr>
          <w:rFonts w:ascii="Arial" w:eastAsia="Arial" w:hAnsi="Arial" w:cs="Arial"/>
          <w:color w:val="000000" w:themeColor="text1"/>
        </w:rPr>
        <w:t xml:space="preserve">; </w:t>
      </w:r>
      <w:r w:rsidRPr="00FD081F">
        <w:rPr>
          <w:rFonts w:ascii="Arial" w:eastAsia="Arial" w:hAnsi="Arial" w:cs="Arial"/>
          <w:color w:val="000000" w:themeColor="text1"/>
        </w:rPr>
        <w:t xml:space="preserve">y </w:t>
      </w:r>
      <w:r>
        <w:rPr>
          <w:rFonts w:ascii="Arial" w:eastAsia="Arial" w:hAnsi="Arial" w:cs="Arial"/>
        </w:rPr>
        <w:t xml:space="preserve">su contribución al cierre de brechas de infraestructura, por tanto, se comunica a su representada la aceptación, en su totalidad, de la información contenida en la carta de intención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FF"/>
        </w:rPr>
        <w:t>[INDICAR NUMERO DE CARTA DE LA REFERENCIA]</w:t>
      </w:r>
      <w:r>
        <w:rPr>
          <w:rFonts w:ascii="Arial" w:eastAsia="Arial" w:hAnsi="Arial" w:cs="Arial"/>
        </w:rPr>
        <w:t>.</w:t>
      </w:r>
    </w:p>
    <w:p w14:paraId="0336636F" w14:textId="77777777" w:rsidR="00710836" w:rsidRDefault="00710836">
      <w:pPr>
        <w:spacing w:after="0"/>
        <w:jc w:val="both"/>
        <w:rPr>
          <w:rFonts w:ascii="Arial" w:eastAsia="Arial" w:hAnsi="Arial" w:cs="Arial"/>
        </w:rPr>
      </w:pPr>
    </w:p>
    <w:p w14:paraId="589155F1" w14:textId="49539492" w:rsidR="00710836" w:rsidRDefault="001C738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ese sentido, el (la) </w:t>
      </w:r>
      <w:r>
        <w:rPr>
          <w:rFonts w:ascii="Arial" w:eastAsia="Arial" w:hAnsi="Arial" w:cs="Arial"/>
          <w:color w:val="0000FF"/>
        </w:rPr>
        <w:t xml:space="preserve">[INDICAR NOMBRE DE LA ENTIDAD PÚBLICA] </w:t>
      </w:r>
      <w:r>
        <w:rPr>
          <w:rFonts w:ascii="Arial" w:eastAsia="Arial" w:hAnsi="Arial" w:cs="Arial"/>
        </w:rPr>
        <w:t xml:space="preserve">otorga </w:t>
      </w:r>
      <w:r>
        <w:rPr>
          <w:rFonts w:ascii="Arial" w:eastAsia="Arial" w:hAnsi="Arial" w:cs="Arial"/>
          <w:b/>
        </w:rPr>
        <w:t>RELEVANCIA</w:t>
      </w:r>
      <w:r>
        <w:rPr>
          <w:rFonts w:ascii="Arial" w:eastAsia="Arial" w:hAnsi="Arial" w:cs="Arial"/>
        </w:rPr>
        <w:t xml:space="preserve"> </w:t>
      </w:r>
      <w:r w:rsidR="00C53381">
        <w:rPr>
          <w:rFonts w:ascii="Arial" w:eastAsia="Arial" w:hAnsi="Arial" w:cs="Arial"/>
        </w:rPr>
        <w:t>a la(s) inversi</w:t>
      </w:r>
      <w:r w:rsidR="00A84E8F">
        <w:rPr>
          <w:rFonts w:ascii="Arial" w:eastAsia="Arial" w:hAnsi="Arial" w:cs="Arial"/>
        </w:rPr>
        <w:t>ó</w:t>
      </w:r>
      <w:r w:rsidR="00C53381">
        <w:rPr>
          <w:rFonts w:ascii="Arial" w:eastAsia="Arial" w:hAnsi="Arial" w:cs="Arial"/>
        </w:rPr>
        <w:t xml:space="preserve">n(es) </w:t>
      </w:r>
      <w:r w:rsidR="005B1CE3">
        <w:rPr>
          <w:rFonts w:ascii="Arial" w:eastAsia="Arial" w:hAnsi="Arial" w:cs="Arial"/>
        </w:rPr>
        <w:t>/</w:t>
      </w:r>
      <w:r w:rsidR="00C53381">
        <w:rPr>
          <w:rFonts w:ascii="Arial" w:eastAsia="Arial" w:hAnsi="Arial" w:cs="Arial"/>
        </w:rPr>
        <w:t xml:space="preserve"> actividad(es) de operación y</w:t>
      </w:r>
      <w:r w:rsidR="005B1CE3">
        <w:rPr>
          <w:rFonts w:ascii="Arial" w:eastAsia="Arial" w:hAnsi="Arial" w:cs="Arial"/>
        </w:rPr>
        <w:t xml:space="preserve">/o </w:t>
      </w:r>
      <w:r w:rsidR="00C53381">
        <w:rPr>
          <w:rFonts w:ascii="Arial" w:eastAsia="Arial" w:hAnsi="Arial" w:cs="Arial"/>
        </w:rPr>
        <w:t>mantenimiento</w:t>
      </w:r>
      <w:r w:rsidR="00C53381" w:rsidDel="00C5338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color w:val="0000FF"/>
        </w:rPr>
        <w:t xml:space="preserve">[INDICAR NOMBRE PRELIMINAR </w:t>
      </w:r>
      <w:r w:rsidR="008611BD">
        <w:rPr>
          <w:rFonts w:ascii="Arial" w:eastAsia="Arial" w:hAnsi="Arial" w:cs="Arial"/>
          <w:color w:val="0000FF"/>
        </w:rPr>
        <w:t xml:space="preserve">DE </w:t>
      </w:r>
      <w:r w:rsidR="008611BD" w:rsidRPr="00A747A7">
        <w:rPr>
          <w:rFonts w:ascii="Arial" w:eastAsia="Arial" w:hAnsi="Arial" w:cs="Arial"/>
          <w:color w:val="0000FF"/>
        </w:rPr>
        <w:t>LA(S) INVERSIÓN(ES) / ACTIVIDAD(ES) DE OPERACIÓN Y/O MANTENIMIENTO</w:t>
      </w:r>
      <w:r>
        <w:rPr>
          <w:rFonts w:ascii="Arial" w:eastAsia="Arial" w:hAnsi="Arial" w:cs="Arial"/>
          <w:color w:val="0000FF"/>
        </w:rPr>
        <w:t>]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</w:rPr>
        <w:t xml:space="preserve">a ser ejecutado en </w:t>
      </w:r>
      <w:r>
        <w:rPr>
          <w:rFonts w:ascii="Arial" w:eastAsia="Arial" w:hAnsi="Arial" w:cs="Arial"/>
          <w:color w:val="0000FF"/>
        </w:rPr>
        <w:t xml:space="preserve">[INDICAR UBICACIÓN </w:t>
      </w:r>
      <w:r w:rsidR="006C3802">
        <w:rPr>
          <w:rFonts w:ascii="Arial" w:eastAsia="Arial" w:hAnsi="Arial" w:cs="Arial"/>
          <w:color w:val="0000FF"/>
        </w:rPr>
        <w:t xml:space="preserve">DE </w:t>
      </w:r>
      <w:r w:rsidR="006C3802" w:rsidRPr="00A747A7">
        <w:rPr>
          <w:rFonts w:ascii="Arial" w:eastAsia="Arial" w:hAnsi="Arial" w:cs="Arial"/>
          <w:color w:val="0000FF"/>
        </w:rPr>
        <w:lastRenderedPageBreak/>
        <w:t>LA(S) INVERSIÓN(ES) / ACTIVIDAD(ES) DE OPERACIÓN Y/O MANTENIMIENTO</w:t>
      </w:r>
      <w:r>
        <w:rPr>
          <w:rFonts w:ascii="Arial" w:eastAsia="Arial" w:hAnsi="Arial" w:cs="Arial"/>
          <w:color w:val="0000FF"/>
        </w:rPr>
        <w:t>]</w:t>
      </w:r>
      <w:r>
        <w:rPr>
          <w:rFonts w:ascii="Arial" w:eastAsia="Arial" w:hAnsi="Arial" w:cs="Arial"/>
        </w:rPr>
        <w:t xml:space="preserve"> bajo el mecanismo de Obras por Impuestos. </w:t>
      </w:r>
    </w:p>
    <w:p w14:paraId="5A9AD65E" w14:textId="77777777" w:rsidR="00710836" w:rsidRDefault="00710836">
      <w:pPr>
        <w:spacing w:after="0"/>
        <w:jc w:val="both"/>
        <w:rPr>
          <w:rFonts w:ascii="Arial" w:eastAsia="Arial" w:hAnsi="Arial" w:cs="Arial"/>
        </w:rPr>
      </w:pPr>
    </w:p>
    <w:p w14:paraId="011EC080" w14:textId="07CCEE04" w:rsidR="00710836" w:rsidRDefault="001C738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consecuencia, dentro del plazo establecido en el </w:t>
      </w:r>
      <w:r w:rsidRPr="005B1CE3">
        <w:rPr>
          <w:rFonts w:ascii="Arial" w:eastAsia="Arial" w:hAnsi="Arial" w:cs="Arial"/>
        </w:rPr>
        <w:t xml:space="preserve">numeral </w:t>
      </w:r>
      <w:r w:rsidR="007C7580" w:rsidRPr="005B1CE3">
        <w:rPr>
          <w:rFonts w:ascii="Arial" w:eastAsia="Arial" w:hAnsi="Arial" w:cs="Arial"/>
        </w:rPr>
        <w:t>25.1</w:t>
      </w:r>
      <w:r w:rsidRPr="005B1CE3">
        <w:rPr>
          <w:rFonts w:ascii="Arial" w:eastAsia="Arial" w:hAnsi="Arial" w:cs="Arial"/>
        </w:rPr>
        <w:t xml:space="preserve"> del artículo </w:t>
      </w:r>
      <w:r w:rsidR="007C7580">
        <w:rPr>
          <w:rFonts w:ascii="Arial" w:eastAsia="Arial" w:hAnsi="Arial" w:cs="Arial"/>
        </w:rPr>
        <w:t>25</w:t>
      </w:r>
      <w:r w:rsidR="007C7580" w:rsidRPr="005B1CE3">
        <w:rPr>
          <w:rFonts w:ascii="Arial" w:eastAsia="Arial" w:hAnsi="Arial" w:cs="Arial"/>
        </w:rPr>
        <w:t xml:space="preserve"> </w:t>
      </w:r>
      <w:r w:rsidRPr="005B1CE3">
        <w:rPr>
          <w:rFonts w:ascii="Arial" w:eastAsia="Arial" w:hAnsi="Arial" w:cs="Arial"/>
        </w:rPr>
        <w:t xml:space="preserve">del Reglamento de la Ley </w:t>
      </w:r>
      <w:proofErr w:type="spellStart"/>
      <w:r w:rsidRPr="005B1CE3">
        <w:rPr>
          <w:rFonts w:ascii="Arial" w:eastAsia="Arial" w:hAnsi="Arial" w:cs="Arial"/>
        </w:rPr>
        <w:t>N°</w:t>
      </w:r>
      <w:proofErr w:type="spellEnd"/>
      <w:r w:rsidRPr="005B1CE3">
        <w:rPr>
          <w:rFonts w:ascii="Arial" w:eastAsia="Arial" w:hAnsi="Arial" w:cs="Arial"/>
        </w:rPr>
        <w:t xml:space="preserve"> 29230</w:t>
      </w:r>
      <w:r>
        <w:rPr>
          <w:rFonts w:ascii="Arial" w:eastAsia="Arial" w:hAnsi="Arial" w:cs="Arial"/>
        </w:rPr>
        <w:t xml:space="preserve">, se emite la presente autorización para dar inicio al </w:t>
      </w:r>
      <w:r w:rsidR="001B1A32">
        <w:rPr>
          <w:rFonts w:ascii="Arial" w:eastAsia="Arial" w:hAnsi="Arial" w:cs="Arial"/>
          <w:color w:val="0000FF"/>
        </w:rPr>
        <w:t>[D</w:t>
      </w:r>
      <w:r w:rsidR="00EE02CD" w:rsidRPr="00EE02CD">
        <w:rPr>
          <w:rFonts w:ascii="Arial" w:eastAsia="Arial" w:hAnsi="Arial" w:cs="Arial"/>
          <w:color w:val="0000FF"/>
        </w:rPr>
        <w:t>ESARROLLO</w:t>
      </w:r>
      <w:r w:rsidR="001B1A32">
        <w:rPr>
          <w:rFonts w:ascii="Arial" w:eastAsia="Arial" w:hAnsi="Arial" w:cs="Arial"/>
          <w:color w:val="0000FF"/>
        </w:rPr>
        <w:t>/ACTUALIZACION]</w:t>
      </w:r>
      <w:r>
        <w:rPr>
          <w:rFonts w:ascii="Arial" w:eastAsia="Arial" w:hAnsi="Arial" w:cs="Arial"/>
        </w:rPr>
        <w:t xml:space="preserve"> de la </w:t>
      </w:r>
      <w:r w:rsidR="00B64214" w:rsidRPr="00B64214">
        <w:rPr>
          <w:rFonts w:ascii="Arial" w:eastAsia="Arial" w:hAnsi="Arial" w:cs="Arial"/>
          <w:color w:val="0000FF"/>
        </w:rPr>
        <w:t xml:space="preserve">[FICHA TÉCNICA </w:t>
      </w:r>
      <w:r w:rsidR="00B64214">
        <w:rPr>
          <w:rFonts w:ascii="Arial" w:eastAsia="Arial" w:hAnsi="Arial" w:cs="Arial"/>
          <w:color w:val="0000FF"/>
        </w:rPr>
        <w:t>/</w:t>
      </w:r>
      <w:r w:rsidR="00B64214" w:rsidRPr="00B64214">
        <w:rPr>
          <w:rFonts w:ascii="Arial" w:eastAsia="Arial" w:hAnsi="Arial" w:cs="Arial"/>
          <w:color w:val="0000FF"/>
        </w:rPr>
        <w:t xml:space="preserve"> ESTUDIO DE PREINVERSIÓN</w:t>
      </w:r>
      <w:r w:rsidR="00B64214">
        <w:rPr>
          <w:rFonts w:ascii="Arial" w:eastAsia="Arial" w:hAnsi="Arial" w:cs="Arial"/>
          <w:color w:val="0000FF"/>
        </w:rPr>
        <w:t>]</w:t>
      </w:r>
      <w:r>
        <w:rPr>
          <w:rFonts w:ascii="Arial" w:eastAsia="Arial" w:hAnsi="Arial" w:cs="Arial"/>
        </w:rPr>
        <w:t xml:space="preserve"> de conformidad con la normativa del Sistema de Programación Multianual y Gestión de Inversiones -INVIERTE.PE.</w:t>
      </w:r>
    </w:p>
    <w:p w14:paraId="13CB94A4" w14:textId="77777777" w:rsidR="00710836" w:rsidRDefault="00710836">
      <w:pPr>
        <w:spacing w:after="0" w:line="240" w:lineRule="auto"/>
        <w:rPr>
          <w:rFonts w:ascii="Arial" w:eastAsia="Arial" w:hAnsi="Arial" w:cs="Arial"/>
        </w:rPr>
      </w:pPr>
    </w:p>
    <w:p w14:paraId="04121C84" w14:textId="77777777" w:rsidR="00710836" w:rsidRDefault="001C738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Atentamente, </w:t>
      </w:r>
    </w:p>
    <w:sectPr w:rsidR="00710836">
      <w:pgSz w:w="11907" w:h="16839"/>
      <w:pgMar w:top="2127" w:right="1701" w:bottom="141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06ED3"/>
    <w:multiLevelType w:val="hybridMultilevel"/>
    <w:tmpl w:val="A6F4745A"/>
    <w:lvl w:ilvl="0" w:tplc="133C6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  <w:lang w:val="es-P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72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36"/>
    <w:rsid w:val="00035F87"/>
    <w:rsid w:val="00044876"/>
    <w:rsid w:val="00063519"/>
    <w:rsid w:val="001215B6"/>
    <w:rsid w:val="0018582E"/>
    <w:rsid w:val="001A5C60"/>
    <w:rsid w:val="001A6CAF"/>
    <w:rsid w:val="001B1A32"/>
    <w:rsid w:val="001C10B1"/>
    <w:rsid w:val="001C738F"/>
    <w:rsid w:val="001F700B"/>
    <w:rsid w:val="0023742B"/>
    <w:rsid w:val="002E47DF"/>
    <w:rsid w:val="002F00CA"/>
    <w:rsid w:val="003619F6"/>
    <w:rsid w:val="003C188E"/>
    <w:rsid w:val="004673DB"/>
    <w:rsid w:val="00490E96"/>
    <w:rsid w:val="004A62AC"/>
    <w:rsid w:val="004F262B"/>
    <w:rsid w:val="0052164B"/>
    <w:rsid w:val="005B1CE3"/>
    <w:rsid w:val="005D4D3A"/>
    <w:rsid w:val="00601B94"/>
    <w:rsid w:val="00652012"/>
    <w:rsid w:val="006A51B2"/>
    <w:rsid w:val="006C3802"/>
    <w:rsid w:val="006E3772"/>
    <w:rsid w:val="006E7EBA"/>
    <w:rsid w:val="00700B80"/>
    <w:rsid w:val="00710836"/>
    <w:rsid w:val="0076351E"/>
    <w:rsid w:val="00764B95"/>
    <w:rsid w:val="007702E9"/>
    <w:rsid w:val="00797529"/>
    <w:rsid w:val="007A6C35"/>
    <w:rsid w:val="007C7580"/>
    <w:rsid w:val="00804ED3"/>
    <w:rsid w:val="00806478"/>
    <w:rsid w:val="0084744A"/>
    <w:rsid w:val="008611BD"/>
    <w:rsid w:val="00880BBF"/>
    <w:rsid w:val="008C05C8"/>
    <w:rsid w:val="008F0406"/>
    <w:rsid w:val="00931198"/>
    <w:rsid w:val="00A747A7"/>
    <w:rsid w:val="00A84E8F"/>
    <w:rsid w:val="00AF3CCD"/>
    <w:rsid w:val="00AF47E4"/>
    <w:rsid w:val="00B1365F"/>
    <w:rsid w:val="00B64214"/>
    <w:rsid w:val="00BA5AE4"/>
    <w:rsid w:val="00C10C3B"/>
    <w:rsid w:val="00C53381"/>
    <w:rsid w:val="00CF628E"/>
    <w:rsid w:val="00D41601"/>
    <w:rsid w:val="00E17405"/>
    <w:rsid w:val="00E7479A"/>
    <w:rsid w:val="00ED1EFB"/>
    <w:rsid w:val="00ED756C"/>
    <w:rsid w:val="00EE02CD"/>
    <w:rsid w:val="00F956C4"/>
    <w:rsid w:val="00F97DD3"/>
    <w:rsid w:val="00FD081F"/>
    <w:rsid w:val="200C6914"/>
    <w:rsid w:val="4B9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E04C"/>
  <w15:docId w15:val="{DCBA48C7-BD7A-BC42-8919-234A494C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63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00A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0A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00AF1"/>
    <w:rPr>
      <w:vertAlign w:val="superscript"/>
    </w:rPr>
  </w:style>
  <w:style w:type="paragraph" w:styleId="Prrafodelista">
    <w:name w:val="List Paragraph"/>
    <w:basedOn w:val="Normal"/>
    <w:uiPriority w:val="34"/>
    <w:qFormat/>
    <w:rsid w:val="00D233E7"/>
    <w:pPr>
      <w:ind w:left="720"/>
      <w:contextualSpacing/>
    </w:pPr>
  </w:style>
  <w:style w:type="character" w:customStyle="1" w:styleId="textolinkeables">
    <w:name w:val="texto_linkeables"/>
    <w:basedOn w:val="Fuentedeprrafopredeter"/>
    <w:rsid w:val="00D233E7"/>
  </w:style>
  <w:style w:type="character" w:styleId="Hipervnculo">
    <w:name w:val="Hyperlink"/>
    <w:basedOn w:val="Fuentedeprrafopredeter"/>
    <w:uiPriority w:val="99"/>
    <w:semiHidden/>
    <w:unhideWhenUsed/>
    <w:rsid w:val="00D233E7"/>
    <w:rPr>
      <w:color w:val="0000FF"/>
      <w:u w:val="single"/>
    </w:rPr>
  </w:style>
  <w:style w:type="character" w:customStyle="1" w:styleId="textocontenidos">
    <w:name w:val="texto_contenidos"/>
    <w:basedOn w:val="Fuentedeprrafopredeter"/>
    <w:rsid w:val="00D233E7"/>
  </w:style>
  <w:style w:type="character" w:styleId="Refdecomentario">
    <w:name w:val="annotation reference"/>
    <w:basedOn w:val="Fuentedeprrafopredeter"/>
    <w:uiPriority w:val="99"/>
    <w:semiHidden/>
    <w:unhideWhenUsed/>
    <w:rsid w:val="00D50E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E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E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E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E2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E2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7C7580"/>
    <w:pPr>
      <w:spacing w:after="0" w:line="240" w:lineRule="auto"/>
    </w:pPr>
  </w:style>
  <w:style w:type="paragraph" w:styleId="Sinespaciado">
    <w:name w:val="No Spacing"/>
    <w:uiPriority w:val="1"/>
    <w:qFormat/>
    <w:rsid w:val="00ED756C"/>
    <w:pPr>
      <w:spacing w:after="0" w:line="240" w:lineRule="auto"/>
    </w:pPr>
    <w:rPr>
      <w:rFonts w:asciiTheme="minorHAnsi" w:eastAsiaTheme="minorHAnsi" w:hAnsiTheme="minorHAnsi" w:cstheme="minorBidi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u1GyCzV7NuKHRhk2y92wxbegLg==">CgMxLjA4AHIhMWZZZDJ2cElvbWI4clVzbEhwdEtIR3lfY3BXREpzMTA3</go:docsCustomData>
</go:gDocsCustomXmlDataStorage>
</file>

<file path=customXml/itemProps1.xml><?xml version="1.0" encoding="utf-8"?>
<ds:datastoreItem xmlns:ds="http://schemas.openxmlformats.org/officeDocument/2006/customXml" ds:itemID="{4B75948D-C183-5E49-979A-4A2B7B9E07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939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Macol Milagros Dominguez Bustamante</dc:creator>
  <cp:lastModifiedBy>Duymovich Rojas, Ivonne Myrian</cp:lastModifiedBy>
  <cp:revision>39</cp:revision>
  <dcterms:created xsi:type="dcterms:W3CDTF">2024-10-28T21:27:00Z</dcterms:created>
  <dcterms:modified xsi:type="dcterms:W3CDTF">2024-12-18T17:49:00Z</dcterms:modified>
</cp:coreProperties>
</file>